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B6676" w14:textId="77777777" w:rsidR="000518FF" w:rsidRPr="000518FF" w:rsidRDefault="000518FF" w:rsidP="000518FF">
      <w:pPr>
        <w:rPr>
          <w:b/>
          <w:bCs/>
          <w:sz w:val="32"/>
          <w:szCs w:val="32"/>
        </w:rPr>
      </w:pPr>
      <w:bookmarkStart w:id="0" w:name="_Hlk115201208"/>
      <w:bookmarkEnd w:id="0"/>
      <w:r w:rsidRPr="000518FF">
        <w:rPr>
          <w:b/>
          <w:bCs/>
          <w:sz w:val="32"/>
          <w:szCs w:val="32"/>
        </w:rPr>
        <w:t>Laureáti Ceny předsedy GA ČR 2022</w:t>
      </w:r>
    </w:p>
    <w:p w14:paraId="0BE6B68E" w14:textId="374CDBAD" w:rsidR="000518FF" w:rsidRDefault="000518FF" w:rsidP="000518FF">
      <w:pPr>
        <w:spacing w:after="120"/>
        <w:rPr>
          <w:rFonts w:asciiTheme="majorHAnsi" w:hAnsiTheme="majorHAnsi" w:cstheme="majorHAnsi"/>
        </w:rPr>
      </w:pPr>
      <w:r w:rsidRPr="00FE7343">
        <w:rPr>
          <w:rFonts w:asciiTheme="majorHAnsi" w:hAnsiTheme="majorHAnsi" w:cstheme="majorHAnsi"/>
        </w:rPr>
        <w:t xml:space="preserve">Cena předsedy GA ČR je pravidelně </w:t>
      </w:r>
      <w:r w:rsidR="00446488">
        <w:rPr>
          <w:rFonts w:asciiTheme="majorHAnsi" w:hAnsiTheme="majorHAnsi" w:cstheme="majorHAnsi"/>
        </w:rPr>
        <w:t>udělována</w:t>
      </w:r>
      <w:r w:rsidRPr="00FE7343">
        <w:rPr>
          <w:rFonts w:asciiTheme="majorHAnsi" w:hAnsiTheme="majorHAnsi" w:cstheme="majorHAnsi"/>
        </w:rPr>
        <w:t xml:space="preserve"> od roku 2003 pěti laureátům jako ocenění mimořádných výsledků dosažených při řešení grantových projektů ukončených v předchozím roce. Doposud bylo oceněno celkem 80 výjimečných vědců a jejich projektů. Každý laureát obdrží v rámci ocenění finanční odměnu ve výši 100 000 Kč. Ceny jsou udělovány v pěti oblastech základního výzkumu: technické vědy; vědy o neživé přírodě, lékařské a biologické vědy; společenské a humanitní vědy a zemědělské a biologicko-enviromentální vědy.</w:t>
      </w:r>
    </w:p>
    <w:p w14:paraId="2CF61877" w14:textId="77777777" w:rsidR="000518FF" w:rsidRDefault="000518FF" w:rsidP="000518FF">
      <w:pPr>
        <w:spacing w:after="120"/>
        <w:rPr>
          <w:rFonts w:asciiTheme="majorHAnsi" w:hAnsiTheme="majorHAnsi" w:cstheme="majorHAnsi"/>
        </w:rPr>
      </w:pPr>
    </w:p>
    <w:p w14:paraId="78154D84" w14:textId="77777777" w:rsidR="000518FF" w:rsidRPr="000518FF" w:rsidRDefault="000518FF" w:rsidP="000518FF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  <w:r w:rsidRPr="000518FF">
        <w:rPr>
          <w:rFonts w:asciiTheme="majorHAnsi" w:hAnsiTheme="majorHAnsi" w:cstheme="majorHAnsi"/>
          <w:b/>
          <w:bCs/>
          <w:sz w:val="28"/>
          <w:szCs w:val="28"/>
        </w:rPr>
        <w:t>Technické vědy</w:t>
      </w:r>
    </w:p>
    <w:p w14:paraId="485DB75E" w14:textId="3D3C58F0" w:rsidR="000518FF" w:rsidRPr="004D758E" w:rsidRDefault="000518FF" w:rsidP="000518FF">
      <w:pPr>
        <w:spacing w:after="120"/>
        <w:rPr>
          <w:rFonts w:asciiTheme="majorHAnsi" w:hAnsiTheme="majorHAnsi" w:cstheme="majorHAnsi"/>
          <w:b/>
          <w:bCs/>
        </w:rPr>
      </w:pPr>
      <w:r w:rsidRPr="004D758E">
        <w:rPr>
          <w:rFonts w:asciiTheme="majorHAnsi" w:hAnsiTheme="majorHAnsi" w:cstheme="majorHAnsi"/>
          <w:b/>
          <w:bCs/>
        </w:rPr>
        <w:t>doc. Ing. Filip Šroubek, Ph.D., DSc.</w:t>
      </w:r>
      <w:r>
        <w:rPr>
          <w:rFonts w:asciiTheme="majorHAnsi" w:hAnsiTheme="majorHAnsi" w:cstheme="majorHAnsi"/>
          <w:b/>
          <w:bCs/>
        </w:rPr>
        <w:t xml:space="preserve"> </w:t>
      </w:r>
      <w:r w:rsidRPr="000518FF">
        <w:rPr>
          <w:rFonts w:asciiTheme="majorHAnsi" w:hAnsiTheme="majorHAnsi" w:cstheme="majorHAnsi"/>
        </w:rPr>
        <w:t>(Ústav teorie informace a automatizace AV ČR, v.v.i.)</w:t>
      </w:r>
    </w:p>
    <w:p w14:paraId="4E5059AE" w14:textId="77777777" w:rsidR="000518FF" w:rsidRDefault="000518FF" w:rsidP="000518FF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D758E">
        <w:rPr>
          <w:rFonts w:asciiTheme="majorHAnsi" w:hAnsiTheme="majorHAnsi" w:cstheme="majorHAnsi"/>
          <w:color w:val="000000"/>
          <w:sz w:val="22"/>
          <w:szCs w:val="22"/>
        </w:rPr>
        <w:t xml:space="preserve">Filip Šroubek vystudoval informatiku na Elektrotechnické fakultě ČVUT. Po ukončení doktorátu na Matematicko-fyzikální fakultě UK působil dva roky na Institutu Optiky v Madridu. Díky prestižnímu Fulbrightovu stipendiu následně strávil rok na Kalifornské univerzitě v Santa Cruz. V současné době je na vedoucí vědecké pozici v oddělení zpracování </w:t>
      </w:r>
      <w:r>
        <w:rPr>
          <w:rFonts w:asciiTheme="majorHAnsi" w:hAnsiTheme="majorHAnsi" w:cstheme="majorHAnsi"/>
          <w:color w:val="000000"/>
          <w:sz w:val="22"/>
          <w:szCs w:val="22"/>
        </w:rPr>
        <w:t>obrazové informace</w:t>
      </w:r>
      <w:r w:rsidRPr="004D758E">
        <w:rPr>
          <w:rFonts w:asciiTheme="majorHAnsi" w:hAnsiTheme="majorHAnsi" w:cstheme="majorHAnsi"/>
          <w:color w:val="000000"/>
          <w:sz w:val="22"/>
          <w:szCs w:val="22"/>
        </w:rPr>
        <w:t xml:space="preserve"> na Ústavu teorie informace a automatizace Akademie věd ČR. Zároveň přednáší a vede studenty na obou svých alma mater.</w:t>
      </w:r>
    </w:p>
    <w:p w14:paraId="7B8D3B74" w14:textId="77777777" w:rsidR="000518FF" w:rsidRPr="004D758E" w:rsidRDefault="000518FF" w:rsidP="000518FF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Oceněný projekt: </w:t>
      </w:r>
      <w:r w:rsidRPr="004D758E">
        <w:rPr>
          <w:rFonts w:asciiTheme="majorHAnsi" w:hAnsiTheme="majorHAnsi" w:cstheme="majorHAnsi"/>
          <w:b/>
          <w:bCs/>
          <w:color w:val="000000"/>
          <w:sz w:val="22"/>
          <w:szCs w:val="22"/>
        </w:rPr>
        <w:t>Řešení inverzních problémů vznikajících při analýze rychle se pohybujících objektů</w:t>
      </w:r>
    </w:p>
    <w:p w14:paraId="742EC9C6" w14:textId="77777777" w:rsidR="000518FF" w:rsidRPr="004D758E" w:rsidRDefault="000518FF" w:rsidP="000518FF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D758E">
        <w:rPr>
          <w:rFonts w:asciiTheme="majorHAnsi" w:hAnsiTheme="majorHAnsi" w:cstheme="majorHAnsi"/>
          <w:color w:val="000000"/>
          <w:sz w:val="22"/>
          <w:szCs w:val="22"/>
        </w:rPr>
        <w:t>Ani nejlepší videokamery nedokážou bez rozmazání zachytit rychle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se </w:t>
      </w:r>
      <w:r w:rsidRPr="004D758E">
        <w:rPr>
          <w:rFonts w:asciiTheme="majorHAnsi" w:hAnsiTheme="majorHAnsi" w:cstheme="majorHAnsi"/>
          <w:color w:val="000000"/>
          <w:sz w:val="22"/>
          <w:szCs w:val="22"/>
        </w:rPr>
        <w:t>pohybující objekty – například míč při fotbalovém zápasu nebo projíždějící auta. Oceněný projekt vyvinul metodu, která umožňuje výrazně zlepšit kvalitu obrazu, a to i přes omezené technické možnosti záznamu. Dodatečné zaostřování obrazu najde své využití také ve vědeckých experimentech, obraně, zdravotnictví a dalších oblastech.</w:t>
      </w:r>
    </w:p>
    <w:p w14:paraId="41FF9BDA" w14:textId="77777777" w:rsidR="000518FF" w:rsidRPr="004D758E" w:rsidRDefault="000518FF" w:rsidP="000518FF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D758E">
        <w:rPr>
          <w:rFonts w:asciiTheme="majorHAnsi" w:hAnsiTheme="majorHAnsi" w:cstheme="majorHAnsi"/>
          <w:color w:val="000000"/>
          <w:sz w:val="22"/>
          <w:szCs w:val="22"/>
        </w:rPr>
        <w:t>Metoda spočívá v tom, že z rozmazaného videa lze získat více informací než z jednoho ostrého snímku – jako je například 3D trajektorie a úhlová rychlost objektu. Díky tomu se vědcům z</w:t>
      </w:r>
      <w:r>
        <w:rPr>
          <w:rFonts w:asciiTheme="majorHAnsi" w:hAnsiTheme="majorHAnsi" w:cstheme="majorHAnsi"/>
          <w:color w:val="000000"/>
          <w:sz w:val="22"/>
          <w:szCs w:val="22"/>
        </w:rPr>
        <w:t> Ústavu teorie informace a automatizace AV ČR</w:t>
      </w:r>
      <w:r w:rsidRPr="004D758E">
        <w:rPr>
          <w:rFonts w:asciiTheme="majorHAnsi" w:hAnsiTheme="majorHAnsi" w:cstheme="majorHAnsi"/>
          <w:color w:val="000000"/>
          <w:sz w:val="22"/>
          <w:szCs w:val="22"/>
        </w:rPr>
        <w:t xml:space="preserve"> ve spolupráci s ČVUT daří rekonstruovat tvar, vzhled a pohyb rychl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e se </w:t>
      </w:r>
      <w:r w:rsidRPr="004D758E">
        <w:rPr>
          <w:rFonts w:asciiTheme="majorHAnsi" w:hAnsiTheme="majorHAnsi" w:cstheme="majorHAnsi"/>
          <w:color w:val="000000"/>
          <w:sz w:val="22"/>
          <w:szCs w:val="22"/>
        </w:rPr>
        <w:t>pohybujícího objektu. Lze tak vytvořit video, které má vyšší kvalitu, než kterou dokážou zachytit kamery s nejlepší současnou technologií.</w:t>
      </w:r>
    </w:p>
    <w:p w14:paraId="060ADBD5" w14:textId="623F969F" w:rsidR="000518FF" w:rsidRDefault="000518FF" w:rsidP="000518FF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D758E">
        <w:rPr>
          <w:rFonts w:asciiTheme="majorHAnsi" w:hAnsiTheme="majorHAnsi" w:cstheme="majorHAnsi"/>
          <w:color w:val="000000"/>
          <w:sz w:val="22"/>
          <w:szCs w:val="22"/>
        </w:rPr>
        <w:t>Metodě se již podařilo proniknout do médií tím, že v záběrech domnělého UFO dokázala identifikovat dravce.</w:t>
      </w:r>
    </w:p>
    <w:p w14:paraId="248A2490" w14:textId="5BE39BD5" w:rsidR="00BE1097" w:rsidRPr="00BE1097" w:rsidRDefault="00BE1097" w:rsidP="00BE1097">
      <w:pPr>
        <w:pStyle w:val="Normlnweb"/>
        <w:spacing w:after="12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Videa související s projektem: </w:t>
      </w:r>
      <w:hyperlink r:id="rId7" w:history="1">
        <w:r w:rsidRPr="005712C9">
          <w:rPr>
            <w:rStyle w:val="Hypertextovodkaz"/>
            <w:rFonts w:asciiTheme="majorHAnsi" w:hAnsiTheme="majorHAnsi" w:cstheme="majorHAnsi"/>
            <w:sz w:val="22"/>
            <w:szCs w:val="22"/>
          </w:rPr>
          <w:t>https://youtu.be/N40JXLVUYnQ</w:t>
        </w:r>
      </w:hyperlink>
      <w:r>
        <w:rPr>
          <w:rFonts w:asciiTheme="majorHAnsi" w:hAnsiTheme="majorHAnsi" w:cstheme="majorHAnsi"/>
          <w:color w:val="000000"/>
          <w:sz w:val="22"/>
          <w:szCs w:val="22"/>
        </w:rPr>
        <w:t xml:space="preserve">; </w:t>
      </w:r>
      <w:hyperlink r:id="rId8" w:history="1">
        <w:r w:rsidRPr="005712C9">
          <w:rPr>
            <w:rStyle w:val="Hypertextovodkaz"/>
            <w:rFonts w:asciiTheme="majorHAnsi" w:hAnsiTheme="majorHAnsi" w:cstheme="majorHAnsi"/>
            <w:sz w:val="22"/>
            <w:szCs w:val="22"/>
          </w:rPr>
          <w:t>https://www.youtube.com/watch?v=pmAynZvaaQ4</w:t>
        </w:r>
      </w:hyperlink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14:paraId="3C824946" w14:textId="6FB6DE44" w:rsidR="00BE1097" w:rsidRDefault="00BE1097" w:rsidP="00BE1097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Web projektu: </w:t>
      </w:r>
      <w:hyperlink r:id="rId9" w:history="1">
        <w:r w:rsidRPr="005712C9">
          <w:rPr>
            <w:rStyle w:val="Hypertextovodkaz"/>
            <w:rFonts w:asciiTheme="majorHAnsi" w:hAnsiTheme="majorHAnsi" w:cstheme="majorHAnsi"/>
            <w:sz w:val="22"/>
            <w:szCs w:val="22"/>
          </w:rPr>
          <w:t>http://zoi.utia.cas.cz/fmo</w:t>
        </w:r>
      </w:hyperlink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14:paraId="352CE378" w14:textId="3B2B2202" w:rsidR="00BE1097" w:rsidRDefault="00BE1097" w:rsidP="00BE1097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Foto laureáta:</w:t>
      </w:r>
    </w:p>
    <w:p w14:paraId="72B485DD" w14:textId="7B192863" w:rsidR="00BE1097" w:rsidRPr="004D758E" w:rsidRDefault="00BE1097" w:rsidP="00BE1097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>
        <w:rPr>
          <w:rFonts w:asciiTheme="majorHAnsi" w:hAnsiTheme="majorHAnsi" w:cstheme="majorHAnsi"/>
          <w:noProof/>
          <w:color w:val="000000"/>
          <w:sz w:val="22"/>
          <w:szCs w:val="22"/>
        </w:rPr>
        <w:lastRenderedPageBreak/>
        <w:drawing>
          <wp:inline distT="0" distB="0" distL="0" distR="0" wp14:anchorId="4C211CC3" wp14:editId="4268ED6D">
            <wp:extent cx="2741603" cy="4124325"/>
            <wp:effectExtent l="0" t="0" r="190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33" cy="413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0217D" w14:textId="77777777" w:rsidR="000518FF" w:rsidRDefault="000518FF" w:rsidP="000518FF">
      <w:pPr>
        <w:spacing w:after="120"/>
        <w:rPr>
          <w:rFonts w:asciiTheme="majorHAnsi" w:hAnsiTheme="majorHAnsi" w:cstheme="majorHAnsi"/>
        </w:rPr>
      </w:pPr>
    </w:p>
    <w:p w14:paraId="3F31B192" w14:textId="77777777" w:rsidR="000518FF" w:rsidRPr="000518FF" w:rsidRDefault="000518FF" w:rsidP="000518FF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  <w:r w:rsidRPr="000518FF">
        <w:rPr>
          <w:rFonts w:asciiTheme="majorHAnsi" w:hAnsiTheme="majorHAnsi" w:cstheme="majorHAnsi"/>
          <w:b/>
          <w:bCs/>
          <w:sz w:val="28"/>
          <w:szCs w:val="28"/>
        </w:rPr>
        <w:t>Vědy o neživé přírodě</w:t>
      </w:r>
    </w:p>
    <w:p w14:paraId="7972876B" w14:textId="33325E45" w:rsidR="000518FF" w:rsidRPr="004D758E" w:rsidRDefault="000518FF" w:rsidP="000518FF">
      <w:pPr>
        <w:spacing w:after="120"/>
        <w:rPr>
          <w:rFonts w:asciiTheme="majorHAnsi" w:hAnsiTheme="majorHAnsi" w:cstheme="majorHAnsi"/>
          <w:b/>
          <w:bCs/>
        </w:rPr>
      </w:pPr>
      <w:r w:rsidRPr="004D758E">
        <w:rPr>
          <w:rFonts w:asciiTheme="majorHAnsi" w:hAnsiTheme="majorHAnsi" w:cstheme="majorHAnsi"/>
          <w:b/>
          <w:bCs/>
        </w:rPr>
        <w:t>M.Sc.</w:t>
      </w:r>
      <w:r>
        <w:rPr>
          <w:rFonts w:asciiTheme="majorHAnsi" w:hAnsiTheme="majorHAnsi" w:cstheme="majorHAnsi"/>
          <w:b/>
          <w:bCs/>
        </w:rPr>
        <w:t xml:space="preserve"> Asa </w:t>
      </w:r>
      <w:r w:rsidRPr="004D758E">
        <w:rPr>
          <w:rFonts w:asciiTheme="majorHAnsi" w:hAnsiTheme="majorHAnsi" w:cstheme="majorHAnsi"/>
          <w:b/>
          <w:bCs/>
        </w:rPr>
        <w:t>Gholizad</w:t>
      </w:r>
      <w:r>
        <w:rPr>
          <w:rFonts w:asciiTheme="majorHAnsi" w:hAnsiTheme="majorHAnsi" w:cstheme="majorHAnsi"/>
          <w:b/>
          <w:bCs/>
        </w:rPr>
        <w:t>eh,</w:t>
      </w:r>
      <w:r w:rsidRPr="004D758E">
        <w:rPr>
          <w:rFonts w:asciiTheme="majorHAnsi" w:hAnsiTheme="majorHAnsi" w:cstheme="majorHAnsi"/>
          <w:b/>
          <w:bCs/>
        </w:rPr>
        <w:t xml:space="preserve"> Ph.D.</w:t>
      </w:r>
      <w:r>
        <w:rPr>
          <w:rFonts w:asciiTheme="majorHAnsi" w:hAnsiTheme="majorHAnsi" w:cstheme="majorHAnsi"/>
          <w:b/>
          <w:bCs/>
        </w:rPr>
        <w:t xml:space="preserve"> </w:t>
      </w:r>
      <w:r w:rsidRPr="000518FF">
        <w:rPr>
          <w:rFonts w:asciiTheme="majorHAnsi" w:hAnsiTheme="majorHAnsi" w:cstheme="majorHAnsi"/>
        </w:rPr>
        <w:t>(Česká zemědělská univerzita v Praze, Fakulta agrobiologie, potravinových a přírodních zdrojů)</w:t>
      </w:r>
    </w:p>
    <w:p w14:paraId="39C20BAF" w14:textId="77777777" w:rsidR="000518FF" w:rsidRDefault="000518FF" w:rsidP="000518FF">
      <w:pPr>
        <w:spacing w:after="120"/>
        <w:rPr>
          <w:rFonts w:asciiTheme="majorHAnsi" w:hAnsiTheme="majorHAnsi" w:cstheme="majorHAnsi"/>
        </w:rPr>
      </w:pPr>
      <w:r w:rsidRPr="004D758E">
        <w:rPr>
          <w:rFonts w:asciiTheme="majorHAnsi" w:hAnsiTheme="majorHAnsi" w:cstheme="majorHAnsi"/>
        </w:rPr>
        <w:t xml:space="preserve">Asa Gholizadeh studovala zemědělské inženýrství na univerzitách v Iránu, doktorát získala na </w:t>
      </w:r>
      <w:r w:rsidRPr="00C37A31">
        <w:rPr>
          <w:rFonts w:asciiTheme="majorHAnsi" w:hAnsiTheme="majorHAnsi" w:cstheme="majorHAnsi"/>
        </w:rPr>
        <w:t>Universiti Putra Malaysia</w:t>
      </w:r>
      <w:r w:rsidRPr="004D758E">
        <w:rPr>
          <w:rFonts w:asciiTheme="majorHAnsi" w:hAnsiTheme="majorHAnsi" w:cstheme="majorHAnsi"/>
        </w:rPr>
        <w:t>. Od roku 2013 působí na Fakultě agrobiologie, potravinových a přírodních zdrojů České zemědělské univerzity v Praze. Zabývá se vývojem nových metod pro mapování a monitorování půdy s využitím technologií proximálního a dálkového průzkumu a</w:t>
      </w:r>
      <w:r>
        <w:rPr>
          <w:rFonts w:asciiTheme="majorHAnsi" w:hAnsiTheme="majorHAnsi" w:cstheme="majorHAnsi"/>
        </w:rPr>
        <w:t xml:space="preserve"> také</w:t>
      </w:r>
      <w:r w:rsidRPr="004D758E">
        <w:rPr>
          <w:rFonts w:asciiTheme="majorHAnsi" w:hAnsiTheme="majorHAnsi" w:cstheme="majorHAnsi"/>
        </w:rPr>
        <w:t xml:space="preserve"> empirických </w:t>
      </w:r>
      <w:r>
        <w:rPr>
          <w:rFonts w:asciiTheme="majorHAnsi" w:hAnsiTheme="majorHAnsi" w:cstheme="majorHAnsi"/>
        </w:rPr>
        <w:t>i</w:t>
      </w:r>
      <w:r w:rsidRPr="004D758E">
        <w:rPr>
          <w:rFonts w:asciiTheme="majorHAnsi" w:hAnsiTheme="majorHAnsi" w:cstheme="majorHAnsi"/>
        </w:rPr>
        <w:t xml:space="preserve"> mechanistických modelů pro hodnocení půdních vlastností.</w:t>
      </w:r>
      <w:r>
        <w:rPr>
          <w:rFonts w:asciiTheme="majorHAnsi" w:hAnsiTheme="majorHAnsi" w:cstheme="majorHAnsi"/>
        </w:rPr>
        <w:t xml:space="preserve"> </w:t>
      </w:r>
    </w:p>
    <w:p w14:paraId="1269E2E9" w14:textId="77777777" w:rsidR="000518FF" w:rsidRDefault="000518FF" w:rsidP="000518FF">
      <w:pPr>
        <w:spacing w:after="1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Oceněný projekt: </w:t>
      </w:r>
      <w:r w:rsidRPr="004D758E">
        <w:rPr>
          <w:rFonts w:asciiTheme="majorHAnsi" w:hAnsiTheme="majorHAnsi" w:cstheme="majorHAnsi"/>
          <w:b/>
          <w:bCs/>
        </w:rPr>
        <w:t>Hodnocení kontaminace půdy s využitím hyperspektrálních satelitních dat</w:t>
      </w:r>
    </w:p>
    <w:p w14:paraId="0332CB28" w14:textId="77777777" w:rsidR="000518FF" w:rsidRPr="00272C37" w:rsidRDefault="000518FF" w:rsidP="000518FF">
      <w:pPr>
        <w:spacing w:after="120"/>
        <w:rPr>
          <w:rFonts w:asciiTheme="majorHAnsi" w:hAnsiTheme="majorHAnsi" w:cstheme="majorHAnsi"/>
        </w:rPr>
      </w:pPr>
      <w:r w:rsidRPr="00272C37">
        <w:rPr>
          <w:rFonts w:asciiTheme="majorHAnsi" w:hAnsiTheme="majorHAnsi" w:cstheme="majorHAnsi"/>
        </w:rPr>
        <w:t xml:space="preserve">Kontaminovaná půda znamená mnohá zdravotní rizika. Juniorský projekt přinesl průlomovou metodu, jak ji identifikovat. Tým vědců z České zemědělské univerzity v Praze k tomu využil veřejně dostupná družicová data o odrazu světla různých vlnových délek. </w:t>
      </w:r>
    </w:p>
    <w:p w14:paraId="4EA86E16" w14:textId="77777777" w:rsidR="000518FF" w:rsidRPr="00272C37" w:rsidRDefault="000518FF" w:rsidP="000518FF">
      <w:pPr>
        <w:spacing w:after="120"/>
        <w:rPr>
          <w:rFonts w:asciiTheme="majorHAnsi" w:hAnsiTheme="majorHAnsi" w:cstheme="majorHAnsi"/>
        </w:rPr>
      </w:pPr>
      <w:r w:rsidRPr="00272C37">
        <w:rPr>
          <w:rFonts w:asciiTheme="majorHAnsi" w:hAnsiTheme="majorHAnsi" w:cstheme="majorHAnsi"/>
        </w:rPr>
        <w:t>Mimo konvenčních analytických postupů využívá nově vzniklá metoda pro zpracování dat i neuronové sítě a nástroje strojového učení – díky tomu je možné rychle, levně a ekologicky získat informace o kontaminaci půdy na rozlehlém území. Metoda byla testována i při zjišťování obsahu organického uhlíku v půdě, který je důležitý k určení její kvality.</w:t>
      </w:r>
    </w:p>
    <w:p w14:paraId="2E941072" w14:textId="77777777" w:rsidR="000518FF" w:rsidRPr="00272C37" w:rsidRDefault="000518FF" w:rsidP="000518FF">
      <w:pPr>
        <w:spacing w:after="120"/>
        <w:rPr>
          <w:rFonts w:asciiTheme="majorHAnsi" w:hAnsiTheme="majorHAnsi" w:cstheme="majorHAnsi"/>
        </w:rPr>
      </w:pPr>
      <w:r w:rsidRPr="00272C37">
        <w:rPr>
          <w:rFonts w:asciiTheme="majorHAnsi" w:hAnsiTheme="majorHAnsi" w:cstheme="majorHAnsi"/>
        </w:rPr>
        <w:lastRenderedPageBreak/>
        <w:t xml:space="preserve">Díky této metodě bude možné implemenovat nové a přesné algoritmy do budoucích vesmírných senzorů, které je využijí k měření globální kontaminace půdy v reálném čase. </w:t>
      </w:r>
    </w:p>
    <w:p w14:paraId="0147B6B7" w14:textId="2939BB82" w:rsidR="000518FF" w:rsidRDefault="000518FF" w:rsidP="000518FF">
      <w:pPr>
        <w:spacing w:after="120"/>
        <w:rPr>
          <w:rFonts w:asciiTheme="majorHAnsi" w:hAnsiTheme="majorHAnsi" w:cstheme="majorHAnsi"/>
        </w:rPr>
      </w:pPr>
      <w:r w:rsidRPr="00272C37">
        <w:rPr>
          <w:rFonts w:asciiTheme="majorHAnsi" w:hAnsiTheme="majorHAnsi" w:cstheme="majorHAnsi"/>
        </w:rPr>
        <w:t>Na výzkumu spolupracovali vědci s odborníky z celého světa – například Německa, Izraele, Austrálie nebo Brazílie.</w:t>
      </w:r>
    </w:p>
    <w:p w14:paraId="26DB4348" w14:textId="44B0E335" w:rsidR="00BE1097" w:rsidRDefault="00BE1097" w:rsidP="000518FF">
      <w:pPr>
        <w:spacing w:after="120"/>
        <w:rPr>
          <w:rFonts w:asciiTheme="majorHAnsi" w:hAnsiTheme="majorHAnsi" w:cstheme="majorHAnsi"/>
        </w:rPr>
      </w:pPr>
    </w:p>
    <w:p w14:paraId="69048DD7" w14:textId="77777777" w:rsidR="00BE1097" w:rsidRDefault="00BE1097" w:rsidP="00BE1097">
      <w:pPr>
        <w:pStyle w:val="Normlnweb"/>
        <w:spacing w:beforeAutospacing="0" w:after="120" w:afterAutospacing="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Foto laureáta:</w:t>
      </w:r>
    </w:p>
    <w:p w14:paraId="5109335E" w14:textId="1922EA48" w:rsidR="00BE1097" w:rsidRDefault="00BE1097" w:rsidP="000518FF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249F9589" wp14:editId="02510EED">
            <wp:extent cx="4735062" cy="3810000"/>
            <wp:effectExtent l="0" t="0" r="889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507" cy="38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94107" w14:textId="77777777" w:rsidR="000518FF" w:rsidRPr="004D758E" w:rsidRDefault="000518FF" w:rsidP="000518FF">
      <w:pPr>
        <w:spacing w:after="120"/>
        <w:rPr>
          <w:rFonts w:asciiTheme="majorHAnsi" w:hAnsiTheme="majorHAnsi" w:cstheme="majorHAnsi"/>
          <w:b/>
          <w:bCs/>
        </w:rPr>
      </w:pPr>
    </w:p>
    <w:p w14:paraId="2A808C60" w14:textId="77777777" w:rsidR="000518FF" w:rsidRPr="000518FF" w:rsidRDefault="000518FF" w:rsidP="000518FF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  <w:r w:rsidRPr="000518FF">
        <w:rPr>
          <w:rFonts w:asciiTheme="majorHAnsi" w:hAnsiTheme="majorHAnsi" w:cstheme="majorHAnsi"/>
          <w:b/>
          <w:bCs/>
          <w:sz w:val="28"/>
          <w:szCs w:val="28"/>
        </w:rPr>
        <w:t>Lékařské a biologické vědy</w:t>
      </w:r>
    </w:p>
    <w:p w14:paraId="38927DEA" w14:textId="6C8D7D81" w:rsidR="000518FF" w:rsidRPr="004D758E" w:rsidRDefault="000518FF" w:rsidP="000518FF">
      <w:pPr>
        <w:spacing w:after="120"/>
        <w:rPr>
          <w:rFonts w:asciiTheme="majorHAnsi" w:hAnsiTheme="majorHAnsi" w:cstheme="majorHAnsi"/>
          <w:b/>
          <w:bCs/>
        </w:rPr>
      </w:pPr>
      <w:r w:rsidRPr="001348C6">
        <w:rPr>
          <w:rFonts w:asciiTheme="majorHAnsi" w:hAnsiTheme="majorHAnsi" w:cstheme="majorHAnsi"/>
          <w:b/>
          <w:bCs/>
        </w:rPr>
        <w:t>doc. Ing. Václav Veverka, Ph.D.</w:t>
      </w:r>
      <w:r>
        <w:rPr>
          <w:rFonts w:asciiTheme="majorHAnsi" w:hAnsiTheme="majorHAnsi" w:cstheme="majorHAnsi"/>
          <w:b/>
          <w:bCs/>
        </w:rPr>
        <w:t xml:space="preserve"> </w:t>
      </w:r>
      <w:r w:rsidRPr="000518FF">
        <w:rPr>
          <w:rFonts w:asciiTheme="majorHAnsi" w:hAnsiTheme="majorHAnsi" w:cstheme="majorHAnsi"/>
        </w:rPr>
        <w:t>(Ústav organické chemie a biochemie AV ČR, v. v. i.</w:t>
      </w:r>
      <w:r>
        <w:rPr>
          <w:rFonts w:asciiTheme="majorHAnsi" w:hAnsiTheme="majorHAnsi" w:cstheme="majorHAnsi"/>
        </w:rPr>
        <w:t>)</w:t>
      </w:r>
    </w:p>
    <w:p w14:paraId="66F53E1E" w14:textId="77777777" w:rsidR="000518FF" w:rsidRDefault="000518FF" w:rsidP="000518FF">
      <w:pPr>
        <w:spacing w:after="120"/>
        <w:rPr>
          <w:rFonts w:asciiTheme="majorHAnsi" w:hAnsiTheme="majorHAnsi" w:cstheme="majorHAnsi"/>
        </w:rPr>
      </w:pPr>
      <w:r w:rsidRPr="004D758E">
        <w:rPr>
          <w:rFonts w:asciiTheme="majorHAnsi" w:hAnsiTheme="majorHAnsi" w:cstheme="majorHAnsi"/>
          <w:bCs/>
        </w:rPr>
        <w:t>Václav Veverka s</w:t>
      </w:r>
      <w:r w:rsidRPr="004D758E">
        <w:rPr>
          <w:rFonts w:asciiTheme="majorHAnsi" w:hAnsiTheme="majorHAnsi" w:cstheme="majorHAnsi"/>
        </w:rPr>
        <w:t>e věnuje strukturní biologii v Ústavu organické chemie a biochemie AV ČR a na Přírodovědecké fakultě UK. Ve svém výzkumu se zaměřuje na rozluštění a pochopení molekulárních mechanismů biologických procesů, které hrají roli v lidských onemocněních. Ve spolupráci se špičkovými mezinárodními týmy se podílel mj. na odhalení molekulárního základu interakce proteinů souvisejících s rozvojem dětské leukémie a s množením viru HIV či na objevu dosud neznámého mechanismu ovlivňujícího expresi genů v buňce.</w:t>
      </w:r>
    </w:p>
    <w:p w14:paraId="695CE302" w14:textId="77777777" w:rsidR="000518FF" w:rsidRPr="004D758E" w:rsidRDefault="000518FF" w:rsidP="000518FF">
      <w:pPr>
        <w:spacing w:after="1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Oceněný projekt: </w:t>
      </w:r>
      <w:r w:rsidRPr="004D758E">
        <w:rPr>
          <w:rFonts w:asciiTheme="majorHAnsi" w:hAnsiTheme="majorHAnsi" w:cstheme="majorHAnsi"/>
          <w:b/>
          <w:bCs/>
        </w:rPr>
        <w:t>Evoluční a funkční vztah mezi LEDGF/p75 a Pdp3</w:t>
      </w:r>
    </w:p>
    <w:p w14:paraId="2B7DA2F6" w14:textId="77777777" w:rsidR="000518FF" w:rsidRPr="00FE7343" w:rsidRDefault="000518FF" w:rsidP="000518FF">
      <w:pPr>
        <w:spacing w:after="120"/>
        <w:rPr>
          <w:rFonts w:asciiTheme="majorHAnsi" w:hAnsiTheme="majorHAnsi" w:cstheme="majorHAnsi"/>
          <w:bCs/>
          <w:color w:val="212121"/>
        </w:rPr>
      </w:pPr>
      <w:r w:rsidRPr="00FE7343">
        <w:rPr>
          <w:rFonts w:asciiTheme="majorHAnsi" w:hAnsiTheme="majorHAnsi" w:cstheme="majorHAnsi"/>
          <w:bCs/>
          <w:color w:val="212121"/>
        </w:rPr>
        <w:t xml:space="preserve">Zapínání a vypínání genů v buňce (tzv. exprese) je regulovaný proces, na jehož koordinaci se podílí velké množství proteinů, které komunikují prostřednictvím vzájemných interakcí. V rámci projektu vědci </w:t>
      </w:r>
      <w:r w:rsidRPr="00FE7343">
        <w:rPr>
          <w:rFonts w:asciiTheme="majorHAnsi" w:hAnsiTheme="majorHAnsi" w:cstheme="majorHAnsi"/>
          <w:bCs/>
          <w:color w:val="212121"/>
        </w:rPr>
        <w:lastRenderedPageBreak/>
        <w:t xml:space="preserve">z Ústavu organické chemie a biochemie AV ČR sledovali, jakým způsobem dokážou vybrané typy proteinových úseků, které dříve identifikovali při studiu leukémie a infekce HIV, ovlivňovat jeden z kroků genové exprese – prodlužování řetězce RNA. </w:t>
      </w:r>
    </w:p>
    <w:p w14:paraId="0DE18C0A" w14:textId="77777777" w:rsidR="000518FF" w:rsidRPr="00FE7343" w:rsidRDefault="000518FF" w:rsidP="000518FF">
      <w:pPr>
        <w:spacing w:after="120"/>
        <w:rPr>
          <w:rFonts w:asciiTheme="majorHAnsi" w:hAnsiTheme="majorHAnsi" w:cstheme="majorHAnsi"/>
          <w:bCs/>
          <w:color w:val="212121"/>
        </w:rPr>
      </w:pPr>
      <w:r w:rsidRPr="00FE7343">
        <w:rPr>
          <w:rFonts w:asciiTheme="majorHAnsi" w:hAnsiTheme="majorHAnsi" w:cstheme="majorHAnsi"/>
          <w:bCs/>
          <w:color w:val="212121"/>
        </w:rPr>
        <w:t xml:space="preserve">Vědci postupně rozpletli širokou síť vzájemně spolupracujících buněčných partnerů ovlivňujících tento proces. Podařilo se tak odhalit dosud opomíjenou, zato však klíčovou roli nestrukturovaných oblastí bílkovin pro zajištění této spolupráce – synchronizaci procesů genové exprese a dalších komplexních biologických funkcí. </w:t>
      </w:r>
    </w:p>
    <w:p w14:paraId="20C618DA" w14:textId="4F8D5F52" w:rsidR="000518FF" w:rsidRDefault="000518FF" w:rsidP="000518FF">
      <w:pPr>
        <w:spacing w:after="120"/>
        <w:rPr>
          <w:rFonts w:asciiTheme="majorHAnsi" w:hAnsiTheme="majorHAnsi" w:cstheme="majorHAnsi"/>
          <w:bCs/>
          <w:color w:val="212121"/>
        </w:rPr>
      </w:pPr>
      <w:r w:rsidRPr="00FE7343">
        <w:rPr>
          <w:rFonts w:asciiTheme="majorHAnsi" w:hAnsiTheme="majorHAnsi" w:cstheme="majorHAnsi"/>
          <w:bCs/>
          <w:color w:val="212121"/>
        </w:rPr>
        <w:t>Objev může přispět k lepšímu porozumění rakovinným, virovým či neurodegenerativním onemocněním a dalším stavům, které jsou způsobené narušením exprese genů.</w:t>
      </w:r>
    </w:p>
    <w:p w14:paraId="7D8E9FF5" w14:textId="639B6BAB" w:rsidR="005A1C96" w:rsidRDefault="005A1C96" w:rsidP="000518FF">
      <w:pPr>
        <w:spacing w:after="120"/>
        <w:rPr>
          <w:rFonts w:asciiTheme="majorHAnsi" w:hAnsiTheme="majorHAnsi" w:cstheme="majorHAnsi"/>
          <w:bCs/>
          <w:color w:val="212121"/>
        </w:rPr>
      </w:pPr>
    </w:p>
    <w:p w14:paraId="5C7E6E17" w14:textId="215728C2" w:rsidR="005A1C96" w:rsidRPr="004D758E" w:rsidRDefault="005A1C96" w:rsidP="000518FF">
      <w:pPr>
        <w:spacing w:after="120"/>
        <w:rPr>
          <w:rFonts w:asciiTheme="majorHAnsi" w:hAnsiTheme="majorHAnsi" w:cstheme="majorHAnsi"/>
          <w:bCs/>
          <w:color w:val="212121"/>
        </w:rPr>
      </w:pPr>
      <w:r>
        <w:rPr>
          <w:rFonts w:asciiTheme="majorHAnsi" w:hAnsiTheme="majorHAnsi" w:cstheme="majorHAnsi"/>
          <w:bCs/>
          <w:color w:val="212121"/>
        </w:rPr>
        <w:t>Foto laureáta:</w:t>
      </w:r>
    </w:p>
    <w:p w14:paraId="6AB42607" w14:textId="239CC063" w:rsidR="000518FF" w:rsidRPr="004D758E" w:rsidRDefault="005A1C96" w:rsidP="000518FF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25C6962" wp14:editId="319B085E">
            <wp:extent cx="5753100" cy="38385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9F19E" w14:textId="77777777" w:rsidR="005A1C96" w:rsidRDefault="005A1C96" w:rsidP="000518FF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</w:p>
    <w:p w14:paraId="01484688" w14:textId="71E24EBA" w:rsidR="000518FF" w:rsidRPr="000518FF" w:rsidRDefault="000518FF" w:rsidP="000518FF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  <w:r w:rsidRPr="000518FF">
        <w:rPr>
          <w:rFonts w:asciiTheme="majorHAnsi" w:hAnsiTheme="majorHAnsi" w:cstheme="majorHAnsi"/>
          <w:b/>
          <w:bCs/>
          <w:sz w:val="28"/>
          <w:szCs w:val="28"/>
        </w:rPr>
        <w:t>Společenské a humanitní vědy</w:t>
      </w:r>
    </w:p>
    <w:p w14:paraId="7586D60F" w14:textId="1A2CECA3" w:rsidR="000518FF" w:rsidRPr="000518FF" w:rsidRDefault="000518FF" w:rsidP="000518FF">
      <w:pPr>
        <w:spacing w:after="120"/>
        <w:rPr>
          <w:rFonts w:asciiTheme="majorHAnsi" w:hAnsiTheme="majorHAnsi" w:cstheme="majorHAnsi"/>
        </w:rPr>
      </w:pPr>
      <w:r w:rsidRPr="004D758E">
        <w:rPr>
          <w:rFonts w:asciiTheme="majorHAnsi" w:hAnsiTheme="majorHAnsi" w:cstheme="majorHAnsi"/>
          <w:b/>
          <w:bCs/>
        </w:rPr>
        <w:t>Mgr. Petr Plechá</w:t>
      </w:r>
      <w:r w:rsidRPr="004D758E">
        <w:rPr>
          <w:rFonts w:asciiTheme="majorHAnsi" w:eastAsia="TimesNewRomanPSMT" w:hAnsiTheme="majorHAnsi" w:cstheme="majorHAnsi"/>
          <w:b/>
          <w:bCs/>
        </w:rPr>
        <w:t>č</w:t>
      </w:r>
      <w:r w:rsidRPr="004D758E">
        <w:rPr>
          <w:rFonts w:asciiTheme="majorHAnsi" w:hAnsiTheme="majorHAnsi" w:cstheme="majorHAnsi"/>
          <w:b/>
          <w:bCs/>
        </w:rPr>
        <w:t>, Ph.D.</w:t>
      </w:r>
      <w:r>
        <w:rPr>
          <w:rFonts w:asciiTheme="majorHAnsi" w:hAnsiTheme="majorHAnsi" w:cstheme="majorHAnsi"/>
          <w:b/>
          <w:bCs/>
        </w:rPr>
        <w:t xml:space="preserve"> </w:t>
      </w:r>
      <w:r w:rsidRPr="001F38CB">
        <w:rPr>
          <w:rFonts w:asciiTheme="majorHAnsi" w:hAnsiTheme="majorHAnsi" w:cstheme="majorHAnsi"/>
          <w:b/>
          <w:bCs/>
        </w:rPr>
        <w:t>&amp;</w:t>
      </w:r>
      <w:r>
        <w:rPr>
          <w:rFonts w:asciiTheme="majorHAnsi" w:hAnsiTheme="majorHAnsi" w:cstheme="majorHAnsi"/>
          <w:b/>
          <w:bCs/>
        </w:rPr>
        <w:t xml:space="preserve"> Ph.D. </w:t>
      </w:r>
      <w:r w:rsidRPr="000518FF">
        <w:rPr>
          <w:rFonts w:asciiTheme="majorHAnsi" w:hAnsiTheme="majorHAnsi" w:cstheme="majorHAnsi"/>
        </w:rPr>
        <w:t xml:space="preserve">(Ústav pro </w:t>
      </w:r>
      <w:r w:rsidRPr="000518FF">
        <w:rPr>
          <w:rFonts w:asciiTheme="majorHAnsi" w:eastAsia="TimesNewRomanPSMT" w:hAnsiTheme="majorHAnsi" w:cstheme="majorHAnsi"/>
        </w:rPr>
        <w:t>č</w:t>
      </w:r>
      <w:r w:rsidRPr="000518FF">
        <w:rPr>
          <w:rFonts w:asciiTheme="majorHAnsi" w:hAnsiTheme="majorHAnsi" w:cstheme="majorHAnsi"/>
        </w:rPr>
        <w:t xml:space="preserve">eskou literaturu AV </w:t>
      </w:r>
      <w:r w:rsidRPr="000518FF">
        <w:rPr>
          <w:rFonts w:asciiTheme="majorHAnsi" w:eastAsia="TimesNewRomanPSMT" w:hAnsiTheme="majorHAnsi" w:cstheme="majorHAnsi"/>
        </w:rPr>
        <w:t>Č</w:t>
      </w:r>
      <w:r w:rsidRPr="000518FF">
        <w:rPr>
          <w:rFonts w:asciiTheme="majorHAnsi" w:hAnsiTheme="majorHAnsi" w:cstheme="majorHAnsi"/>
        </w:rPr>
        <w:t>R, v.v.i.)</w:t>
      </w:r>
    </w:p>
    <w:p w14:paraId="50CEEA2B" w14:textId="77777777" w:rsidR="000518FF" w:rsidRPr="004D758E" w:rsidRDefault="000518FF" w:rsidP="000518FF">
      <w:pPr>
        <w:spacing w:after="120"/>
        <w:rPr>
          <w:rFonts w:asciiTheme="majorHAnsi" w:hAnsiTheme="majorHAnsi" w:cstheme="majorHAnsi"/>
        </w:rPr>
      </w:pPr>
      <w:r w:rsidRPr="004D758E">
        <w:rPr>
          <w:rFonts w:asciiTheme="majorHAnsi" w:hAnsiTheme="majorHAnsi" w:cstheme="majorHAnsi"/>
        </w:rPr>
        <w:t>Petr Plecháč vystudoval teorii literatury na Filozofické fakultě Univerzity Palackého v Olomouci a matematickou lingvistiku na Filozofické fakultě Univerzity Karlovy v Praze. Vede Versologický tým Ústavu pro českou literaturu AV ČR a působí v rámci týmu Le Rire de Vers na Univerzitě v Basileji. Zabývá se zejména kvantitativní analýzou veršovaných textů a problematikou rozpoznávání autorství.</w:t>
      </w:r>
    </w:p>
    <w:p w14:paraId="2CFA630A" w14:textId="77777777" w:rsidR="000518FF" w:rsidRPr="004D758E" w:rsidRDefault="000518FF" w:rsidP="000518FF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lastRenderedPageBreak/>
        <w:t xml:space="preserve">Oceněný projekt: </w:t>
      </w:r>
      <w:r w:rsidRPr="004D758E">
        <w:rPr>
          <w:rFonts w:asciiTheme="majorHAnsi" w:hAnsiTheme="majorHAnsi" w:cstheme="majorHAnsi"/>
          <w:b/>
          <w:bCs/>
        </w:rPr>
        <w:t>Stylometrická analýza básnických textů</w:t>
      </w:r>
    </w:p>
    <w:p w14:paraId="1CB6544C" w14:textId="77777777" w:rsidR="000518FF" w:rsidRPr="004D758E" w:rsidRDefault="000518FF" w:rsidP="000518FF">
      <w:pPr>
        <w:spacing w:after="120"/>
        <w:rPr>
          <w:rFonts w:asciiTheme="majorHAnsi" w:hAnsiTheme="majorHAnsi" w:cstheme="majorHAnsi"/>
        </w:rPr>
      </w:pPr>
      <w:r w:rsidRPr="004D758E">
        <w:rPr>
          <w:rFonts w:asciiTheme="majorHAnsi" w:hAnsiTheme="majorHAnsi" w:cstheme="majorHAnsi"/>
        </w:rPr>
        <w:t xml:space="preserve">U řady děl světové literatury existují pochybnosti o jejich autorství. Moderní technologie umožňují některé z těchto nejasností osvětlit. Mezinárodní tým </w:t>
      </w:r>
      <w:r>
        <w:rPr>
          <w:rFonts w:asciiTheme="majorHAnsi" w:hAnsiTheme="majorHAnsi" w:cstheme="majorHAnsi"/>
        </w:rPr>
        <w:t>z Ústavu pro českou literaturu AV ČR</w:t>
      </w:r>
      <w:r w:rsidRPr="004D758E">
        <w:rPr>
          <w:rFonts w:asciiTheme="majorHAnsi" w:hAnsiTheme="majorHAnsi" w:cstheme="majorHAnsi"/>
        </w:rPr>
        <w:t xml:space="preserve"> se zaměřil na určování autorství básnických textů pomocí strojového učení. Vedle běžně užívaných textových charakteristik, jako jsou například údaje o četnostech slov a slovních spojení, se tým zaměřil i na formální rysy verše (veršový rytmus, rým), u nichž se mu podařilo prokázat, že významně zvyšují spolehlivost výsledků.</w:t>
      </w:r>
    </w:p>
    <w:p w14:paraId="19CC9D09" w14:textId="6BDDEA1D" w:rsidR="000518FF" w:rsidRDefault="000518FF" w:rsidP="000518FF">
      <w:pPr>
        <w:spacing w:after="120"/>
        <w:rPr>
          <w:rFonts w:asciiTheme="majorHAnsi" w:hAnsiTheme="majorHAnsi" w:cstheme="majorHAnsi"/>
        </w:rPr>
      </w:pPr>
      <w:r w:rsidRPr="004D758E">
        <w:rPr>
          <w:rFonts w:asciiTheme="majorHAnsi" w:hAnsiTheme="majorHAnsi" w:cstheme="majorHAnsi"/>
        </w:rPr>
        <w:t>Tento přístup byl v rámci projektu použit při analýze několika děl světové literatury se sporným autorstvím. Týmu se například podařilo určit, které pasáže veršovaných her Jindřich VIII</w:t>
      </w:r>
      <w:r>
        <w:rPr>
          <w:rFonts w:asciiTheme="majorHAnsi" w:hAnsiTheme="majorHAnsi" w:cstheme="majorHAnsi"/>
        </w:rPr>
        <w:t>.</w:t>
      </w:r>
      <w:r w:rsidRPr="004D758E">
        <w:rPr>
          <w:rFonts w:asciiTheme="majorHAnsi" w:hAnsiTheme="majorHAnsi" w:cstheme="majorHAnsi"/>
        </w:rPr>
        <w:t xml:space="preserve"> a Dva vznešení příbuzní jsou z pera Williama Shakespeara a které pocházejí od jeho spoluautora Johna Fletchera. Díky projektu bylo také dokázáno, že část díla připisovaná ruskému básníkovi Gavriilu Batěnkovovi</w:t>
      </w:r>
      <w:r>
        <w:rPr>
          <w:rFonts w:asciiTheme="majorHAnsi" w:hAnsiTheme="majorHAnsi" w:cstheme="majorHAnsi"/>
        </w:rPr>
        <w:t>,</w:t>
      </w:r>
      <w:r w:rsidRPr="004D758E">
        <w:rPr>
          <w:rFonts w:asciiTheme="majorHAnsi" w:hAnsiTheme="majorHAnsi" w:cstheme="majorHAnsi"/>
        </w:rPr>
        <w:t xml:space="preserve"> je ve skutečnosti podvrh pocházející z 20. století.</w:t>
      </w:r>
    </w:p>
    <w:p w14:paraId="0FFB4E87" w14:textId="0DE3D9A5" w:rsidR="005A1C96" w:rsidRPr="004D758E" w:rsidRDefault="005A1C96" w:rsidP="000518FF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Foto laureáta:</w:t>
      </w:r>
    </w:p>
    <w:p w14:paraId="59B1294D" w14:textId="01B26C49" w:rsidR="000518FF" w:rsidRDefault="005A1C96" w:rsidP="000518FF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drawing>
          <wp:inline distT="0" distB="0" distL="0" distR="0" wp14:anchorId="34F0EF0F" wp14:editId="1A0FD152">
            <wp:extent cx="5753100" cy="38385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493A5" w14:textId="77777777" w:rsidR="000518FF" w:rsidRPr="004D758E" w:rsidRDefault="000518FF" w:rsidP="000518FF">
      <w:pPr>
        <w:spacing w:after="120"/>
        <w:rPr>
          <w:rFonts w:asciiTheme="majorHAnsi" w:hAnsiTheme="majorHAnsi" w:cstheme="majorHAnsi"/>
        </w:rPr>
      </w:pPr>
    </w:p>
    <w:p w14:paraId="7C8A504D" w14:textId="77777777" w:rsidR="000518FF" w:rsidRPr="000518FF" w:rsidRDefault="000518FF" w:rsidP="000518FF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  <w:r w:rsidRPr="000518FF">
        <w:rPr>
          <w:rFonts w:asciiTheme="majorHAnsi" w:hAnsiTheme="majorHAnsi" w:cstheme="majorHAnsi"/>
          <w:b/>
          <w:bCs/>
          <w:sz w:val="28"/>
          <w:szCs w:val="28"/>
        </w:rPr>
        <w:t>Zemědělské a biologicko-enviromentální vědy</w:t>
      </w:r>
    </w:p>
    <w:p w14:paraId="2CDAA567" w14:textId="518B4F05" w:rsidR="000518FF" w:rsidRPr="000518FF" w:rsidRDefault="000518FF" w:rsidP="000518FF">
      <w:pPr>
        <w:spacing w:after="120"/>
        <w:rPr>
          <w:rFonts w:asciiTheme="majorHAnsi" w:hAnsiTheme="majorHAnsi" w:cstheme="majorHAnsi"/>
        </w:rPr>
      </w:pPr>
      <w:r w:rsidRPr="004D758E">
        <w:rPr>
          <w:rFonts w:asciiTheme="majorHAnsi" w:hAnsiTheme="majorHAnsi" w:cstheme="majorHAnsi"/>
          <w:b/>
          <w:bCs/>
        </w:rPr>
        <w:t>prof. RNDr. Martin Reichard, Ph.D.</w:t>
      </w:r>
      <w:r>
        <w:rPr>
          <w:rFonts w:asciiTheme="majorHAnsi" w:hAnsiTheme="majorHAnsi" w:cstheme="majorHAnsi"/>
          <w:b/>
          <w:bCs/>
        </w:rPr>
        <w:t xml:space="preserve"> </w:t>
      </w:r>
      <w:r w:rsidRPr="000518FF">
        <w:rPr>
          <w:rFonts w:asciiTheme="majorHAnsi" w:hAnsiTheme="majorHAnsi" w:cstheme="majorHAnsi"/>
        </w:rPr>
        <w:t>(Ústav biologie obratlovců AV ČR, v.v.i.)</w:t>
      </w:r>
    </w:p>
    <w:p w14:paraId="5B083BAE" w14:textId="77777777" w:rsidR="000518FF" w:rsidRDefault="000518FF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4D758E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Martin Reichard se věnuje evoluční ekologii. Snaží se především o pochopení mechanismů životních strategií – od biologie stárnutí, přes evoluci reprodukčních strategií po koevoluční dynamiku v mezidruhových vztazích. Po postdoktorandských pobytech na britských univerzitách vybudoval </w:t>
      </w:r>
      <w:r w:rsidRPr="004D758E">
        <w:rPr>
          <w:rFonts w:asciiTheme="majorHAnsi" w:eastAsiaTheme="minorHAnsi" w:hAnsiTheme="majorHAnsi" w:cstheme="majorHAnsi"/>
          <w:sz w:val="22"/>
          <w:szCs w:val="22"/>
          <w:lang w:eastAsia="en-US"/>
        </w:rPr>
        <w:lastRenderedPageBreak/>
        <w:t>zázemí a tým v brněnském Ústavu biologie obratlovců AV ČR. Zde kombinuje výzkum v rozsáhlých akreditovaných chovech a přirozených populacích sladkovodních ryb. Je autorem více než 170 vědeckých publikací.</w:t>
      </w:r>
    </w:p>
    <w:p w14:paraId="65E66530" w14:textId="77777777" w:rsidR="000518FF" w:rsidRPr="004D758E" w:rsidRDefault="000518FF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b/>
          <w:bCs/>
          <w:sz w:val="22"/>
          <w:szCs w:val="22"/>
          <w:lang w:eastAsia="en-US"/>
        </w:rPr>
      </w:pPr>
      <w:r w:rsidRPr="004D758E">
        <w:rPr>
          <w:rFonts w:asciiTheme="majorHAnsi" w:eastAsiaTheme="minorHAnsi" w:hAnsiTheme="majorHAnsi" w:cstheme="majorHAnsi"/>
          <w:b/>
          <w:bCs/>
          <w:sz w:val="22"/>
          <w:szCs w:val="22"/>
          <w:lang w:eastAsia="en-US"/>
        </w:rPr>
        <w:t>Zdroje vnitropopulační heterogenity ve stárnutí</w:t>
      </w:r>
    </w:p>
    <w:p w14:paraId="52C4E09E" w14:textId="77777777" w:rsidR="000518FF" w:rsidRPr="00FE7343" w:rsidRDefault="000518FF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FE7343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Stárnutí je z biologického hlediska procesem zhoršování optimálního fungování organismu a zvyšování rizika selhání některé ze základních funkcí. Proč každý jedinec, a to i v rámci téže populace, stárne různou rychlostí? Na tuto otázku se zaměřil tým z Ústavu biologie obratlovců AV ČR. </w:t>
      </w:r>
    </w:p>
    <w:p w14:paraId="65E9E2BD" w14:textId="77777777" w:rsidR="000518FF" w:rsidRPr="00FE7343" w:rsidRDefault="000518FF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FE7343">
        <w:rPr>
          <w:rFonts w:asciiTheme="majorHAnsi" w:eastAsiaTheme="minorHAnsi" w:hAnsiTheme="majorHAnsi" w:cstheme="majorHAnsi"/>
          <w:sz w:val="22"/>
          <w:szCs w:val="22"/>
          <w:lang w:eastAsia="en-US"/>
        </w:rPr>
        <w:t xml:space="preserve">Výzkum probíhal převážně s využitím halančíka tyrkysového, drobné africké ryby. Projekt odhalil příčiny různé rychlosti stárnutí samců a samic v přírodě i laboratoři a popsal, jak můžou podmínky prostředí, průběh embryonálního vývoje a rychlost růstu ovlivnit proces stárnutí. Pomohl také objasnit genetickou příčinu přirozené krátkověkosti halančíků, která spočívá v akumulaci škodlivých mutací v malých populacích. </w:t>
      </w:r>
    </w:p>
    <w:p w14:paraId="58AC6897" w14:textId="1F76DF1F" w:rsidR="000518FF" w:rsidRDefault="000518FF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 w:rsidRPr="00FE7343">
        <w:rPr>
          <w:rFonts w:asciiTheme="majorHAnsi" w:eastAsiaTheme="minorHAnsi" w:hAnsiTheme="majorHAnsi" w:cstheme="majorHAnsi"/>
          <w:sz w:val="22"/>
          <w:szCs w:val="22"/>
          <w:lang w:eastAsia="en-US"/>
        </w:rPr>
        <w:t>Pochopení zdrojů rozdílů v rychlosti stárnutí je důležité také pro řešení akutních otázek současné stárnoucí lidské populace.</w:t>
      </w:r>
    </w:p>
    <w:p w14:paraId="2E5A68A1" w14:textId="5D6CA897" w:rsidR="005A1C96" w:rsidRDefault="005A1C96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</w:p>
    <w:p w14:paraId="2C8C7E9D" w14:textId="24F9B854" w:rsidR="005A1C96" w:rsidRPr="004D758E" w:rsidRDefault="005A1C96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sz w:val="22"/>
          <w:szCs w:val="22"/>
          <w:lang w:eastAsia="en-US"/>
        </w:rPr>
        <w:t>Foto laureáta:</w:t>
      </w:r>
    </w:p>
    <w:p w14:paraId="69355354" w14:textId="5172286E" w:rsidR="000518FF" w:rsidRPr="004D758E" w:rsidRDefault="005A1C96" w:rsidP="000518FF">
      <w:pPr>
        <w:pStyle w:val="Normlnweb"/>
        <w:spacing w:beforeAutospacing="0" w:after="120" w:afterAutospacing="0" w:line="276" w:lineRule="auto"/>
        <w:rPr>
          <w:rFonts w:asciiTheme="majorHAnsi" w:eastAsiaTheme="minorHAnsi" w:hAnsiTheme="majorHAnsi" w:cstheme="majorHAnsi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noProof/>
          <w:sz w:val="22"/>
          <w:szCs w:val="22"/>
          <w:lang w:eastAsia="en-US"/>
        </w:rPr>
        <w:drawing>
          <wp:inline distT="0" distB="0" distL="0" distR="0" wp14:anchorId="7D8B0D63" wp14:editId="0175CE45">
            <wp:extent cx="5457825" cy="3634112"/>
            <wp:effectExtent l="0" t="0" r="0" b="444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39" cy="363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28DC8" w14:textId="04BD69AB" w:rsidR="00BD61F5" w:rsidRPr="000518FF" w:rsidRDefault="00BD61F5" w:rsidP="000518FF"/>
    <w:sectPr w:rsidR="00BD61F5" w:rsidRPr="000518FF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3916" w14:textId="77777777" w:rsidR="00D651BB" w:rsidRDefault="00D651BB">
      <w:pPr>
        <w:spacing w:after="0" w:line="240" w:lineRule="auto"/>
      </w:pPr>
      <w:r>
        <w:separator/>
      </w:r>
    </w:p>
  </w:endnote>
  <w:endnote w:type="continuationSeparator" w:id="0">
    <w:p w14:paraId="75906C95" w14:textId="77777777" w:rsidR="00D651BB" w:rsidRDefault="00D6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951D" w14:textId="77777777" w:rsidR="00BD61F5" w:rsidRDefault="00BD61F5">
    <w:pPr>
      <w:pStyle w:val="Zpat"/>
    </w:pPr>
  </w:p>
  <w:p w14:paraId="688C77CA" w14:textId="77777777" w:rsidR="00BD61F5" w:rsidRDefault="0093207F">
    <w:pPr>
      <w:pStyle w:val="Zpat"/>
    </w:pPr>
    <w:r>
      <w:rPr>
        <w:noProof/>
      </w:rPr>
      <w:drawing>
        <wp:anchor distT="0" distB="0" distL="0" distR="0" simplePos="0" relativeHeight="4" behindDoc="1" locked="0" layoutInCell="0" allowOverlap="1" wp14:anchorId="388660BA" wp14:editId="1639845B">
          <wp:simplePos x="0" y="0"/>
          <wp:positionH relativeFrom="margin">
            <wp:posOffset>-1127125</wp:posOffset>
          </wp:positionH>
          <wp:positionV relativeFrom="paragraph">
            <wp:posOffset>181610</wp:posOffset>
          </wp:positionV>
          <wp:extent cx="7865745" cy="1182370"/>
          <wp:effectExtent l="0" t="0" r="0" b="0"/>
          <wp:wrapNone/>
          <wp:docPr id="2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3348"/>
                  <a:stretch>
                    <a:fillRect/>
                  </a:stretch>
                </pic:blipFill>
                <pic:spPr bwMode="auto">
                  <a:xfrm>
                    <a:off x="0" y="0"/>
                    <a:ext cx="7865745" cy="1182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0" behindDoc="1" locked="0" layoutInCell="0" allowOverlap="1" wp14:anchorId="37976728" wp14:editId="465D4A0A">
          <wp:simplePos x="0" y="0"/>
          <wp:positionH relativeFrom="column">
            <wp:posOffset>376555</wp:posOffset>
          </wp:positionH>
          <wp:positionV relativeFrom="paragraph">
            <wp:posOffset>259715</wp:posOffset>
          </wp:positionV>
          <wp:extent cx="5043170" cy="145415"/>
          <wp:effectExtent l="0" t="0" r="0" b="0"/>
          <wp:wrapNone/>
          <wp:docPr id="3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043170" cy="14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7F488" w14:textId="77777777" w:rsidR="00D651BB" w:rsidRDefault="00D651BB">
      <w:pPr>
        <w:spacing w:after="0" w:line="240" w:lineRule="auto"/>
      </w:pPr>
      <w:r>
        <w:separator/>
      </w:r>
    </w:p>
  </w:footnote>
  <w:footnote w:type="continuationSeparator" w:id="0">
    <w:p w14:paraId="3035287A" w14:textId="77777777" w:rsidR="00D651BB" w:rsidRDefault="00D6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21DA" w14:textId="77777777" w:rsidR="00BD61F5" w:rsidRDefault="0093207F">
    <w:pPr>
      <w:pStyle w:val="Zhlav"/>
    </w:pPr>
    <w:r>
      <w:rPr>
        <w:noProof/>
      </w:rPr>
      <w:drawing>
        <wp:anchor distT="0" distB="0" distL="0" distR="0" simplePos="0" relativeHeight="7" behindDoc="1" locked="0" layoutInCell="0" allowOverlap="1" wp14:anchorId="6B5488E8" wp14:editId="25152DAF">
          <wp:simplePos x="0" y="0"/>
          <wp:positionH relativeFrom="margin">
            <wp:posOffset>22860</wp:posOffset>
          </wp:positionH>
          <wp:positionV relativeFrom="paragraph">
            <wp:posOffset>7620</wp:posOffset>
          </wp:positionV>
          <wp:extent cx="1920240" cy="660400"/>
          <wp:effectExtent l="0" t="0" r="0" b="0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66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5E5860" w14:textId="77777777" w:rsidR="00BD61F5" w:rsidRDefault="00BD61F5">
    <w:pPr>
      <w:pStyle w:val="Zhlav"/>
    </w:pPr>
  </w:p>
  <w:p w14:paraId="15712CD9" w14:textId="77777777" w:rsidR="00BD61F5" w:rsidRDefault="00BD61F5">
    <w:pPr>
      <w:pStyle w:val="Zhlav"/>
    </w:pPr>
  </w:p>
  <w:p w14:paraId="31D24FBC" w14:textId="77777777" w:rsidR="00BD61F5" w:rsidRDefault="00BD61F5">
    <w:pPr>
      <w:pStyle w:val="Zhlav"/>
    </w:pPr>
  </w:p>
  <w:p w14:paraId="6C499D09" w14:textId="77777777" w:rsidR="00BD61F5" w:rsidRDefault="00BD61F5">
    <w:pPr>
      <w:pStyle w:val="Zhlav"/>
    </w:pPr>
  </w:p>
  <w:p w14:paraId="5F1A55E2" w14:textId="77777777" w:rsidR="00BD61F5" w:rsidRDefault="00BD61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F5"/>
    <w:rsid w:val="000518FF"/>
    <w:rsid w:val="00446488"/>
    <w:rsid w:val="005A1C96"/>
    <w:rsid w:val="0093207F"/>
    <w:rsid w:val="009C0682"/>
    <w:rsid w:val="00BD61F5"/>
    <w:rsid w:val="00BE1097"/>
    <w:rsid w:val="00C7101E"/>
    <w:rsid w:val="00D651BB"/>
    <w:rsid w:val="00D9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65BB"/>
  <w15:docId w15:val="{CB138F15-5D7F-41FD-A737-BC705679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70AE"/>
    <w:pPr>
      <w:spacing w:after="200" w:line="276" w:lineRule="auto"/>
      <w:jc w:val="both"/>
    </w:pPr>
    <w:rPr>
      <w:rFonts w:ascii="Calibri Light" w:hAnsi="Calibri Light"/>
    </w:rPr>
  </w:style>
  <w:style w:type="paragraph" w:styleId="Nadpis1">
    <w:name w:val="heading 1"/>
    <w:basedOn w:val="Normln"/>
    <w:next w:val="Normln"/>
    <w:link w:val="Nadpis1Char"/>
    <w:uiPriority w:val="9"/>
    <w:qFormat/>
    <w:rsid w:val="003D70AE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70AE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537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537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1270F"/>
  </w:style>
  <w:style w:type="character" w:customStyle="1" w:styleId="ZpatChar">
    <w:name w:val="Zápatí Char"/>
    <w:basedOn w:val="Standardnpsmoodstavce"/>
    <w:link w:val="Zpat"/>
    <w:uiPriority w:val="99"/>
    <w:qFormat/>
    <w:rsid w:val="0031270F"/>
  </w:style>
  <w:style w:type="character" w:styleId="Hypertextovodkaz">
    <w:name w:val="Hyperlink"/>
    <w:basedOn w:val="Standardnpsmoodstavce"/>
    <w:uiPriority w:val="99"/>
    <w:unhideWhenUsed/>
    <w:rsid w:val="005C06B9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3D70AE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3D70AE"/>
    <w:rPr>
      <w:rFonts w:eastAsiaTheme="majorEastAsia" w:cstheme="majorBidi"/>
      <w:b/>
      <w:color w:val="000000" w:themeColor="text1"/>
      <w:sz w:val="28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7511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7511A"/>
    <w:rPr>
      <w:rFonts w:ascii="Calibri Light" w:hAnsi="Calibri Light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7511A"/>
    <w:rPr>
      <w:rFonts w:ascii="Calibri Light" w:hAnsi="Calibri Light"/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53734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537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A5373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355B7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F1778"/>
    <w:rPr>
      <w:color w:val="954F72" w:themeColor="followedHyperlink"/>
      <w:u w:val="single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1270F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paragraph" w:styleId="Zpat">
    <w:name w:val="footer"/>
    <w:basedOn w:val="Normln"/>
    <w:link w:val="ZpatChar"/>
    <w:uiPriority w:val="99"/>
    <w:unhideWhenUsed/>
    <w:rsid w:val="0031270F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paragraph" w:styleId="Odstavecseseznamem">
    <w:name w:val="List Paragraph"/>
    <w:basedOn w:val="Normln"/>
    <w:uiPriority w:val="34"/>
    <w:qFormat/>
    <w:rsid w:val="0012492D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7511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B7511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537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A543A2"/>
    <w:rPr>
      <w:rFonts w:ascii="Calibri Light" w:hAnsi="Calibri Light"/>
    </w:rPr>
  </w:style>
  <w:style w:type="paragraph" w:styleId="Normlnweb">
    <w:name w:val="Normal (Web)"/>
    <w:basedOn w:val="Normln"/>
    <w:uiPriority w:val="99"/>
    <w:unhideWhenUsed/>
    <w:qFormat/>
    <w:rsid w:val="00650138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mAynZvaaQ4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N40JXLVUYnQ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zoi.utia.cas.cz/fmo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C9A93-6BB5-4D4B-8529-3EBF929C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1269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Dočkalová</dc:creator>
  <dc:description/>
  <cp:lastModifiedBy>Vojtěch Janů</cp:lastModifiedBy>
  <cp:revision>5</cp:revision>
  <dcterms:created xsi:type="dcterms:W3CDTF">2022-09-16T13:36:00Z</dcterms:created>
  <dcterms:modified xsi:type="dcterms:W3CDTF">2022-09-27T18:01:00Z</dcterms:modified>
  <dc:language>en-US</dc:language>
</cp:coreProperties>
</file>